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D7" w:rsidRPr="00DE15EC" w:rsidRDefault="00894ED7" w:rsidP="00DE15EC">
      <w:pPr>
        <w:spacing w:before="120" w:after="240" w:line="280" w:lineRule="atLeast"/>
        <w:jc w:val="center"/>
        <w:rPr>
          <w:b/>
          <w:i/>
          <w:iCs/>
          <w:color w:val="333399"/>
          <w:sz w:val="40"/>
          <w:szCs w:val="40"/>
        </w:rPr>
      </w:pPr>
      <w:r w:rsidRPr="00DE15EC">
        <w:rPr>
          <w:b/>
          <w:i/>
          <w:iCs/>
          <w:color w:val="333399"/>
          <w:sz w:val="40"/>
          <w:szCs w:val="40"/>
        </w:rPr>
        <w:t xml:space="preserve">COVID-19 : CONSEILS POUR L’ENTRETIEN DES LOCAUX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En complément des mesures barrières, le nettoyage des locaux est une étape incontournable pour limiter le risque de dispersion d</w:t>
      </w:r>
      <w:r w:rsidR="007E1314" w:rsidRPr="00DE15EC">
        <w:rPr>
          <w:rFonts w:ascii="Century Gothic" w:hAnsi="Century Gothic" w:cstheme="minorBidi"/>
          <w:color w:val="auto"/>
          <w:sz w:val="20"/>
          <w:szCs w:val="20"/>
        </w:rPr>
        <w:t>u virus.</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Quels produits utiliser ?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Le nettoyage des surfaces se réalise à l’aide de produits contenant un tensioactif. En solubilisant les lipides, il va inactiver l’enveloppe du virus SRAS-CoV-2, </w:t>
      </w:r>
      <w:r w:rsidR="007E1314" w:rsidRPr="00DE15EC">
        <w:rPr>
          <w:rFonts w:ascii="Century Gothic" w:hAnsi="Century Gothic" w:cstheme="minorBidi"/>
          <w:color w:val="auto"/>
          <w:sz w:val="20"/>
          <w:szCs w:val="20"/>
        </w:rPr>
        <w:t xml:space="preserve">elle-même composée de lipides. </w:t>
      </w:r>
      <w:r w:rsidRPr="00DE15EC">
        <w:rPr>
          <w:rFonts w:ascii="Century Gothic" w:hAnsi="Century Gothic" w:cstheme="minorBidi"/>
          <w:color w:val="auto"/>
          <w:sz w:val="20"/>
          <w:szCs w:val="20"/>
        </w:rPr>
        <w:t xml:space="preserve">Ainsi, les savons, dégraissants, détergents et détachants habituellement utilisés sont suffisants pour entretenir les locaux. </w:t>
      </w:r>
    </w:p>
    <w:p w:rsidR="007E1314" w:rsidRPr="00DE15EC" w:rsidRDefault="007E1314" w:rsidP="00DE15EC">
      <w:pPr>
        <w:pStyle w:val="Default"/>
        <w:spacing w:line="260" w:lineRule="atLeast"/>
        <w:jc w:val="both"/>
        <w:rPr>
          <w:rFonts w:ascii="Century Gothic" w:hAnsi="Century Gothic" w:cstheme="minorBidi"/>
          <w:color w:val="auto"/>
          <w:sz w:val="16"/>
          <w:szCs w:val="16"/>
        </w:rPr>
      </w:pP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Une action de désinfection peut ensuite être réalisée, uniquement lorsque l’évaluation des risques le justifie. La désinfection est alors réalisée avec un produit répondant à la norme virucide (NF EN 14476), ou avec d'autres produits comme l'eau de Javel (1 litre de Javel à 2,6% + 4 litres d'eau froide). </w:t>
      </w:r>
    </w:p>
    <w:p w:rsidR="007E1314" w:rsidRPr="00DE15EC" w:rsidRDefault="007E1314" w:rsidP="00DE15EC">
      <w:pPr>
        <w:pStyle w:val="Default"/>
        <w:spacing w:line="260" w:lineRule="atLeast"/>
        <w:jc w:val="both"/>
        <w:rPr>
          <w:rFonts w:ascii="Century Gothic" w:hAnsi="Century Gothic" w:cstheme="minorBidi"/>
          <w:color w:val="auto"/>
          <w:sz w:val="16"/>
          <w:szCs w:val="16"/>
        </w:rPr>
      </w:pP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Il</w:t>
      </w:r>
      <w:r w:rsidR="00E774D2">
        <w:rPr>
          <w:rFonts w:ascii="Century Gothic" w:hAnsi="Century Gothic" w:cstheme="minorBidi"/>
          <w:color w:val="auto"/>
          <w:sz w:val="20"/>
          <w:szCs w:val="20"/>
        </w:rPr>
        <w:t xml:space="preserve"> est déconseillé d’utiliser tout moyen</w:t>
      </w:r>
      <w:r w:rsidRPr="00DE15EC">
        <w:rPr>
          <w:rFonts w:ascii="Century Gothic" w:hAnsi="Century Gothic" w:cstheme="minorBidi"/>
          <w:color w:val="auto"/>
          <w:sz w:val="20"/>
          <w:szCs w:val="20"/>
        </w:rPr>
        <w:t xml:space="preserve"> risquant de créer des projections et de mettre les micro-organismes en suspension dans l’air (jet d’eau, chiffons, balai…). </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Quelle fréquence de nettoyage ?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Il est essentiel d’accentuer la fréquence de nettoyage et de procéder plusieurs fois par jour au nettoyage des surfaces et des objets régulièrement touchés (badgeuses, poignées de portes, rampes d’escaliers, interrupteurs, boutons d’ascenseurs, équipements de travail, sanitaires, comptoirs d’accueil, appareils de paiement…).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Un nettoyage humide des sols est réalisé une fois par jour, après l’utilisation des locaux.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L’aération des locaux est également un réflexe à adopter plusieurs fois par jours. </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Méthodologie de nettoyage </w:t>
      </w:r>
    </w:p>
    <w:p w:rsidR="00894ED7" w:rsidRPr="00DE15EC" w:rsidRDefault="00894ED7" w:rsidP="00DE15EC">
      <w:pPr>
        <w:pStyle w:val="Default"/>
        <w:numPr>
          <w:ilvl w:val="0"/>
          <w:numId w:val="1"/>
        </w:numPr>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Le nettoyage est réalisé en allant de la zone la plus propre à la zone la plus sale</w:t>
      </w:r>
      <w:r w:rsidR="00DE15EC">
        <w:rPr>
          <w:rFonts w:ascii="Century Gothic" w:hAnsi="Century Gothic" w:cstheme="minorBidi"/>
          <w:color w:val="auto"/>
          <w:sz w:val="20"/>
          <w:szCs w:val="20"/>
        </w:rPr>
        <w:t> ;</w:t>
      </w:r>
    </w:p>
    <w:p w:rsidR="00894ED7" w:rsidRPr="00DE15EC" w:rsidRDefault="00894ED7" w:rsidP="00DE15EC">
      <w:pPr>
        <w:pStyle w:val="Default"/>
        <w:numPr>
          <w:ilvl w:val="0"/>
          <w:numId w:val="1"/>
        </w:numPr>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Il convient d’éviter de retremper une lingette déjà utilisée dans le produit propre</w:t>
      </w:r>
      <w:r w:rsidR="00DE15EC">
        <w:rPr>
          <w:rFonts w:ascii="Century Gothic" w:hAnsi="Century Gothic" w:cstheme="minorBidi"/>
          <w:color w:val="auto"/>
          <w:sz w:val="20"/>
          <w:szCs w:val="20"/>
        </w:rPr>
        <w:t> ;</w:t>
      </w:r>
    </w:p>
    <w:p w:rsidR="00894ED7" w:rsidRPr="00DE15EC" w:rsidRDefault="00894ED7" w:rsidP="00DE15EC">
      <w:pPr>
        <w:pStyle w:val="Default"/>
        <w:numPr>
          <w:ilvl w:val="0"/>
          <w:numId w:val="1"/>
        </w:numPr>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Le nettoyage des surfaces s’effectue en commençant par la zone la plus éloignée jusqu’à la zone la plus proche</w:t>
      </w:r>
      <w:r w:rsidR="00DE15EC">
        <w:rPr>
          <w:rFonts w:ascii="Century Gothic" w:hAnsi="Century Gothic" w:cstheme="minorBidi"/>
          <w:color w:val="auto"/>
          <w:sz w:val="20"/>
          <w:szCs w:val="20"/>
        </w:rPr>
        <w:t> ;</w:t>
      </w:r>
    </w:p>
    <w:p w:rsidR="00894ED7" w:rsidRPr="00DE15EC" w:rsidRDefault="00894ED7" w:rsidP="00DE15EC">
      <w:pPr>
        <w:pStyle w:val="Default"/>
        <w:numPr>
          <w:ilvl w:val="0"/>
          <w:numId w:val="1"/>
        </w:numPr>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Le nettoyage du sol s’effectue du fond de la pièce jusqu’à l’entrée</w:t>
      </w:r>
      <w:r w:rsidR="00DE15EC">
        <w:rPr>
          <w:rFonts w:ascii="Century Gothic" w:hAnsi="Century Gothic" w:cstheme="minorBidi"/>
          <w:color w:val="auto"/>
          <w:sz w:val="20"/>
          <w:szCs w:val="20"/>
        </w:rPr>
        <w:t> ;</w:t>
      </w:r>
    </w:p>
    <w:p w:rsidR="00894ED7" w:rsidRPr="00DE15EC" w:rsidRDefault="00894ED7" w:rsidP="00DE15EC">
      <w:pPr>
        <w:pStyle w:val="Default"/>
        <w:numPr>
          <w:ilvl w:val="0"/>
          <w:numId w:val="1"/>
        </w:numPr>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Le nettoyage des</w:t>
      </w:r>
      <w:r w:rsidR="00DE15EC">
        <w:rPr>
          <w:rFonts w:ascii="Century Gothic" w:hAnsi="Century Gothic" w:cstheme="minorBidi"/>
          <w:color w:val="auto"/>
          <w:sz w:val="20"/>
          <w:szCs w:val="20"/>
        </w:rPr>
        <w:t xml:space="preserve"> murs s’effectue de haut en bas.</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Le port d’EPI pour les salariés chargés du nettoyage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Les salariés réalisant le nettoyage doivent être équipés de gants au minimum. L’ajout d’un masque et de lunettes peut s’envisager pour prévenir les risques liés à d’éventuelles projections. Dès le retrait des gants, le salarié se lavera les mains.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Ce type de</w:t>
      </w:r>
      <w:r w:rsidR="00E774D2">
        <w:rPr>
          <w:rFonts w:ascii="Century Gothic" w:hAnsi="Century Gothic" w:cstheme="minorBidi"/>
          <w:color w:val="auto"/>
          <w:sz w:val="20"/>
          <w:szCs w:val="20"/>
        </w:rPr>
        <w:t xml:space="preserve"> produits pouvant être irritant</w:t>
      </w:r>
      <w:r w:rsidRPr="00DE15EC">
        <w:rPr>
          <w:rFonts w:ascii="Century Gothic" w:hAnsi="Century Gothic" w:cstheme="minorBidi"/>
          <w:color w:val="auto"/>
          <w:sz w:val="20"/>
          <w:szCs w:val="20"/>
        </w:rPr>
        <w:t xml:space="preserve"> et/ou allergisant (peau, yeux, appareil respiratoire), les salariés qui manipulent ces produits doivent rester vigilants sur l’apparition de symptômes. </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Nettoyage de l’espace après un cas de contamination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E</w:t>
      </w:r>
      <w:r w:rsidR="00E774D2">
        <w:rPr>
          <w:rFonts w:ascii="Century Gothic" w:hAnsi="Century Gothic" w:cstheme="minorBidi"/>
          <w:color w:val="auto"/>
          <w:sz w:val="20"/>
          <w:szCs w:val="20"/>
        </w:rPr>
        <w:t>n cas de survenue d’un cas COVID</w:t>
      </w:r>
      <w:r w:rsidRPr="00DE15EC">
        <w:rPr>
          <w:rFonts w:ascii="Century Gothic" w:hAnsi="Century Gothic" w:cstheme="minorBidi"/>
          <w:color w:val="auto"/>
          <w:sz w:val="20"/>
          <w:szCs w:val="20"/>
        </w:rPr>
        <w:t xml:space="preserve">-19 dans l’entreprise, la première étape est d’aérer la pièce quand cela est possible. Le nettoyage doit attendre un délai de plusieurs heures dans l’idéal. Une action de désinfection à l’aide d’un produit virucide ou d’eau de javel après le nettoyage peut être réalisée. </w:t>
      </w:r>
    </w:p>
    <w:p w:rsidR="00894ED7" w:rsidRPr="00DE15EC" w:rsidRDefault="00894ED7" w:rsidP="00DE15EC">
      <w:pPr>
        <w:spacing w:before="240" w:after="120" w:line="280" w:lineRule="atLeast"/>
        <w:jc w:val="both"/>
        <w:rPr>
          <w:rFonts w:eastAsia="Times New Roman" w:cs="Times New Roman"/>
          <w:b/>
          <w:bCs/>
          <w:i/>
          <w:iCs/>
          <w:sz w:val="22"/>
          <w:lang w:eastAsia="fr-FR"/>
        </w:rPr>
      </w:pPr>
      <w:r w:rsidRPr="00DE15EC">
        <w:rPr>
          <w:rFonts w:eastAsia="Times New Roman" w:cs="Times New Roman"/>
          <w:b/>
          <w:bCs/>
          <w:i/>
          <w:iCs/>
          <w:sz w:val="22"/>
          <w:lang w:eastAsia="fr-FR"/>
        </w:rPr>
        <w:t xml:space="preserve">Bibliographie : </w:t>
      </w:r>
    </w:p>
    <w:p w:rsidR="00894ED7" w:rsidRPr="00DE15EC" w:rsidRDefault="00894ED7" w:rsidP="00DE15EC">
      <w:pPr>
        <w:pStyle w:val="Default"/>
        <w:spacing w:line="260" w:lineRule="atLeast"/>
        <w:jc w:val="both"/>
        <w:rPr>
          <w:rFonts w:ascii="Century Gothic" w:hAnsi="Century Gothic" w:cstheme="minorBidi"/>
          <w:color w:val="auto"/>
          <w:sz w:val="20"/>
          <w:szCs w:val="20"/>
        </w:rPr>
      </w:pPr>
      <w:r w:rsidRPr="00DE15EC">
        <w:rPr>
          <w:rFonts w:ascii="Century Gothic" w:hAnsi="Century Gothic" w:cstheme="minorBidi"/>
          <w:color w:val="auto"/>
          <w:sz w:val="20"/>
          <w:szCs w:val="20"/>
        </w:rPr>
        <w:t xml:space="preserve">Ministère du Travail, Protocole national de déconfinement pour les entreprises pour assurer la santé et la sécurité des salariés </w:t>
      </w:r>
    </w:p>
    <w:p w:rsidR="00894ED7" w:rsidRPr="00DE15EC" w:rsidRDefault="00E774D2" w:rsidP="00DE15EC">
      <w:pPr>
        <w:pStyle w:val="Default"/>
        <w:spacing w:line="260" w:lineRule="atLeast"/>
        <w:jc w:val="both"/>
        <w:rPr>
          <w:rFonts w:ascii="Century Gothic" w:hAnsi="Century Gothic" w:cstheme="minorBidi"/>
          <w:color w:val="auto"/>
          <w:sz w:val="20"/>
          <w:szCs w:val="20"/>
        </w:rPr>
      </w:pPr>
      <w:r>
        <w:rPr>
          <w:rFonts w:ascii="Century Gothic" w:hAnsi="Century Gothic" w:cstheme="minorBidi"/>
          <w:color w:val="auto"/>
          <w:sz w:val="20"/>
          <w:szCs w:val="20"/>
        </w:rPr>
        <w:t>INRS, COVID</w:t>
      </w:r>
      <w:bookmarkStart w:id="0" w:name="_GoBack"/>
      <w:bookmarkEnd w:id="0"/>
      <w:r w:rsidR="00894ED7" w:rsidRPr="00DE15EC">
        <w:rPr>
          <w:rFonts w:ascii="Century Gothic" w:hAnsi="Century Gothic" w:cstheme="minorBidi"/>
          <w:color w:val="auto"/>
          <w:sz w:val="20"/>
          <w:szCs w:val="20"/>
        </w:rPr>
        <w:t xml:space="preserve">-19 et entreprises </w:t>
      </w:r>
    </w:p>
    <w:sectPr w:rsidR="00894ED7" w:rsidRPr="00DE15EC" w:rsidSect="00DE15EC">
      <w:pgSz w:w="11906" w:h="16838"/>
      <w:pgMar w:top="113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CC4"/>
      </v:shape>
    </w:pict>
  </w:numPicBullet>
  <w:abstractNum w:abstractNumId="0" w15:restartNumberingAfterBreak="0">
    <w:nsid w:val="030458D5"/>
    <w:multiLevelType w:val="hybridMultilevel"/>
    <w:tmpl w:val="F1CA91A4"/>
    <w:lvl w:ilvl="0" w:tplc="28468CE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E148CA"/>
    <w:multiLevelType w:val="hybridMultilevel"/>
    <w:tmpl w:val="785A6FF2"/>
    <w:lvl w:ilvl="0" w:tplc="FB8011E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1F"/>
    <w:rsid w:val="005561A5"/>
    <w:rsid w:val="006D147E"/>
    <w:rsid w:val="007E1314"/>
    <w:rsid w:val="00894ED7"/>
    <w:rsid w:val="008A681F"/>
    <w:rsid w:val="00B258CF"/>
    <w:rsid w:val="00B613C5"/>
    <w:rsid w:val="00DE15EC"/>
    <w:rsid w:val="00E77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920671F-2658-4450-87FF-0B27B6D3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4E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Frédéric</dc:creator>
  <cp:keywords/>
  <dc:description/>
  <cp:lastModifiedBy>MERIAUX Julien</cp:lastModifiedBy>
  <cp:revision>4</cp:revision>
  <dcterms:created xsi:type="dcterms:W3CDTF">2020-05-25T12:15:00Z</dcterms:created>
  <dcterms:modified xsi:type="dcterms:W3CDTF">2020-05-28T14:37:00Z</dcterms:modified>
</cp:coreProperties>
</file>